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22F34" w14:textId="055214A4" w:rsidR="003C1FD0" w:rsidRPr="00180730" w:rsidRDefault="003C1FD0" w:rsidP="003C1FD0">
      <w:pPr>
        <w:spacing w:after="0" w:line="240" w:lineRule="auto"/>
        <w:jc w:val="center"/>
        <w:rPr>
          <w:rFonts w:ascii="Lato Medium" w:hAnsi="Lato Medium"/>
          <w:b/>
          <w:bCs/>
        </w:rPr>
      </w:pPr>
      <w:r w:rsidRPr="00180730">
        <w:rPr>
          <w:rFonts w:ascii="Lato Medium" w:hAnsi="Lato Medium"/>
          <w:b/>
          <w:bCs/>
        </w:rPr>
        <w:t xml:space="preserve">TITULO DE LA CONSULTORÍA: </w:t>
      </w:r>
    </w:p>
    <w:p w14:paraId="6E1335FF" w14:textId="77777777" w:rsidR="003C1FD0" w:rsidRPr="00180730" w:rsidRDefault="003C1FD0" w:rsidP="003C1FD0">
      <w:pPr>
        <w:spacing w:after="0" w:line="240" w:lineRule="auto"/>
        <w:jc w:val="center"/>
        <w:rPr>
          <w:rFonts w:ascii="Lato Medium" w:hAnsi="Lato Medium"/>
          <w:b/>
          <w:bCs/>
        </w:rPr>
      </w:pPr>
    </w:p>
    <w:p w14:paraId="09640BBA" w14:textId="5E2289F4" w:rsidR="003C1FD0" w:rsidRPr="00180730" w:rsidRDefault="003C1FD0" w:rsidP="003C1FD0">
      <w:pPr>
        <w:spacing w:after="0" w:line="240" w:lineRule="auto"/>
        <w:jc w:val="center"/>
        <w:rPr>
          <w:rFonts w:ascii="Lato Medium" w:hAnsi="Lato Medium"/>
          <w:b/>
          <w:bCs/>
        </w:rPr>
      </w:pPr>
      <w:r w:rsidRPr="00180730">
        <w:rPr>
          <w:rFonts w:ascii="Lato Medium" w:hAnsi="Lato Medium"/>
          <w:b/>
          <w:bCs/>
        </w:rPr>
        <w:t>TÉRMINOS DE REFERENCIA (TDR)</w:t>
      </w:r>
    </w:p>
    <w:p w14:paraId="7D24D749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b/>
          <w:bCs/>
        </w:rPr>
      </w:pPr>
    </w:p>
    <w:p w14:paraId="4ED9DACC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</w:rPr>
      </w:pPr>
    </w:p>
    <w:p w14:paraId="16AB9615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ORGANIZACIÓN CONTRATANTE:</w:t>
      </w:r>
      <w:r w:rsidRPr="00180730">
        <w:rPr>
          <w:rFonts w:ascii="Lato Medium" w:hAnsi="Lato Medium"/>
          <w:sz w:val="22"/>
          <w:szCs w:val="22"/>
        </w:rPr>
        <w:t xml:space="preserve"> Save the Children Bolivia</w:t>
      </w:r>
    </w:p>
    <w:p w14:paraId="4FA97287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</w:p>
    <w:p w14:paraId="329B8926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ENTIDADES ALIADAS / DESTINATARIAS:</w:t>
      </w:r>
      <w:r w:rsidRPr="00180730">
        <w:rPr>
          <w:rFonts w:ascii="Lato Medium" w:hAnsi="Lato Medium"/>
          <w:sz w:val="22"/>
          <w:szCs w:val="22"/>
        </w:rPr>
        <w:t xml:space="preserve"> Defensoría del Pueblo (Anclaje institucional), Cámara de Diputados, Viceministerio de Presupuesto y Contabilidad Fiscal (VPCF - MEFP) y Viceministerio de Inversión Pública y Financiamiento Externo (VIPFE - MPD)</w:t>
      </w:r>
    </w:p>
    <w:p w14:paraId="13E9440F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</w:p>
    <w:p w14:paraId="76E4B156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LUGAR DE TRABAJO:</w:t>
      </w:r>
      <w:r w:rsidRPr="00180730">
        <w:rPr>
          <w:rFonts w:ascii="Lato Medium" w:hAnsi="Lato Medium"/>
          <w:sz w:val="22"/>
          <w:szCs w:val="22"/>
        </w:rPr>
        <w:t xml:space="preserve"> La Paz, Bolivia (con alcance a nivel nacional y subnacional)</w:t>
      </w:r>
    </w:p>
    <w:p w14:paraId="3E7431CB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</w:p>
    <w:p w14:paraId="0AA714D6" w14:textId="2364FF8F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DURACIÓN ESTIMADA:</w:t>
      </w:r>
      <w:r w:rsidRPr="00180730">
        <w:rPr>
          <w:rFonts w:ascii="Lato Medium" w:hAnsi="Lato Medium"/>
          <w:sz w:val="22"/>
          <w:szCs w:val="22"/>
        </w:rPr>
        <w:t xml:space="preserve"> </w:t>
      </w:r>
      <w:r w:rsidR="002F0ED1">
        <w:rPr>
          <w:rFonts w:ascii="Lato Medium" w:hAnsi="Lato Medium"/>
          <w:sz w:val="22"/>
          <w:szCs w:val="22"/>
        </w:rPr>
        <w:t xml:space="preserve">60 </w:t>
      </w:r>
      <w:proofErr w:type="spellStart"/>
      <w:r w:rsidR="002F0ED1">
        <w:rPr>
          <w:rFonts w:ascii="Lato Medium" w:hAnsi="Lato Medium"/>
          <w:sz w:val="22"/>
          <w:szCs w:val="22"/>
        </w:rPr>
        <w:t>dias</w:t>
      </w:r>
      <w:proofErr w:type="spellEnd"/>
      <w:r w:rsidR="002F0ED1">
        <w:rPr>
          <w:rFonts w:ascii="Lato Medium" w:hAnsi="Lato Medium"/>
          <w:sz w:val="22"/>
          <w:szCs w:val="22"/>
        </w:rPr>
        <w:t xml:space="preserve"> calendario </w:t>
      </w:r>
    </w:p>
    <w:p w14:paraId="46D71249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br/>
      </w:r>
    </w:p>
    <w:p w14:paraId="43E54B5E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b/>
          <w:bCs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1. ANTECEDENTES Y JUSTIFICACIÓN</w:t>
      </w:r>
    </w:p>
    <w:p w14:paraId="7FCE123A" w14:textId="22399CAC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 xml:space="preserve">La Convención sobre los Derechos del Niño (CDN) establece en su Artículo 4 la obligación de los Estados de adoptar todas las medidas administrativas, legislativas y de otra índole para dar efectividad a los derechos reconocidos, «hasta el límite máximo de los recursos de que dispongan». En Bolivia, el Código Niña, Niño y Adolescente (Ley </w:t>
      </w:r>
      <w:proofErr w:type="spellStart"/>
      <w:r w:rsidRPr="00180730">
        <w:rPr>
          <w:rFonts w:ascii="Lato Medium" w:hAnsi="Lato Medium"/>
          <w:sz w:val="22"/>
          <w:szCs w:val="22"/>
        </w:rPr>
        <w:t>N°</w:t>
      </w:r>
      <w:proofErr w:type="spellEnd"/>
      <w:r w:rsidRPr="00180730">
        <w:rPr>
          <w:rFonts w:ascii="Lato Medium" w:hAnsi="Lato Medium"/>
          <w:sz w:val="22"/>
          <w:szCs w:val="22"/>
        </w:rPr>
        <w:t xml:space="preserve"> 548) y las directrices del Sistema de Planificación Integral del Estado (SPIE) determinan la priorización de la infancia y adolescencia en las políticas públicas.</w:t>
      </w:r>
    </w:p>
    <w:p w14:paraId="119A3D88" w14:textId="3122DE6D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Sin embargo, a nivel nacional y subnacional (gobiernos autónomos departamentales y municipales) persisten desafíos críticos para identificar, visibilizar y evaluar con precisión el impacto del gasto presupuestario directos e indirectos destinados a la niñez y adolescencia. La desarticulación entre los clasificadores presupuestarios, la falta de una etiqueta o marcador específico de inversión en NNA y la limitada transparencia en el seguimiento físico y financiero impiden medir la eficiencia y equidad de la inversión social.</w:t>
      </w:r>
    </w:p>
    <w:p w14:paraId="13D4F2B3" w14:textId="6FD152B2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 xml:space="preserve">Frente a esta situación, </w:t>
      </w:r>
      <w:r w:rsidRPr="00180730">
        <w:rPr>
          <w:rFonts w:ascii="Lato Medium" w:hAnsi="Lato Medium"/>
          <w:b/>
          <w:bCs/>
          <w:sz w:val="22"/>
          <w:szCs w:val="22"/>
        </w:rPr>
        <w:t>Save the Children Bolivia</w:t>
      </w:r>
      <w:r w:rsidRPr="00180730">
        <w:rPr>
          <w:rFonts w:ascii="Lato Medium" w:hAnsi="Lato Medium"/>
          <w:sz w:val="22"/>
          <w:szCs w:val="22"/>
        </w:rPr>
        <w:t xml:space="preserve">, en el marco de sus prioridades estratégicas sobre gobernanza e inversión en la infancia, impulsa el diseño conceptual de un </w:t>
      </w:r>
      <w:r w:rsidRPr="00180730">
        <w:rPr>
          <w:rFonts w:ascii="Lato Medium" w:hAnsi="Lato Medium"/>
          <w:b/>
          <w:bCs/>
          <w:sz w:val="22"/>
          <w:szCs w:val="22"/>
        </w:rPr>
        <w:t>Mecanismo de Seguimiento a la Inversión Pública y Gasto Social en NNA</w:t>
      </w:r>
      <w:r w:rsidRPr="00180730">
        <w:rPr>
          <w:rFonts w:ascii="Lato Medium" w:hAnsi="Lato Medium"/>
          <w:sz w:val="22"/>
          <w:szCs w:val="22"/>
        </w:rPr>
        <w:t>. Este mecanismo se basará en un modelo de articulación interinstitucional estratégico:</w:t>
      </w:r>
    </w:p>
    <w:p w14:paraId="2CE2BA8C" w14:textId="751F6906" w:rsidR="003C1FD0" w:rsidRPr="00180730" w:rsidRDefault="003C1FD0" w:rsidP="003C1FD0">
      <w:pPr>
        <w:numPr>
          <w:ilvl w:val="0"/>
          <w:numId w:val="13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Defensoría del Pueblo:</w:t>
      </w:r>
      <w:r w:rsidRPr="00180730">
        <w:rPr>
          <w:rFonts w:ascii="Lato Medium" w:hAnsi="Lato Medium"/>
          <w:sz w:val="22"/>
          <w:szCs w:val="22"/>
        </w:rPr>
        <w:t xml:space="preserve"> Anclaje institucional y liderazgo operativo, en el marco de su mandato constitucional de vigilancia y defensa de los derechos de NNA.</w:t>
      </w:r>
    </w:p>
    <w:p w14:paraId="5F575FB4" w14:textId="0D08E718" w:rsidR="003C1FD0" w:rsidRPr="00180730" w:rsidRDefault="003C1FD0" w:rsidP="003C1FD0">
      <w:pPr>
        <w:numPr>
          <w:ilvl w:val="0"/>
          <w:numId w:val="13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Cámaras Legislativas (Cámara de Diputados):</w:t>
      </w:r>
      <w:r w:rsidRPr="00180730">
        <w:rPr>
          <w:rFonts w:ascii="Lato Medium" w:hAnsi="Lato Medium"/>
          <w:sz w:val="22"/>
          <w:szCs w:val="22"/>
        </w:rPr>
        <w:t xml:space="preserve"> Instancia de control político, fiscalización parlamentaria y generación de iniciativas legislativas presupuestarias.</w:t>
      </w:r>
    </w:p>
    <w:p w14:paraId="35FF6478" w14:textId="546F2157" w:rsidR="003C1FD0" w:rsidRPr="00180730" w:rsidRDefault="003C1FD0" w:rsidP="003C1FD0">
      <w:pPr>
        <w:numPr>
          <w:ilvl w:val="0"/>
          <w:numId w:val="13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Viceministerio de Presupuesto y Contabilidad Fiscal (MEFP) y VIPFE (MPD):</w:t>
      </w:r>
      <w:r w:rsidRPr="00180730">
        <w:rPr>
          <w:rFonts w:ascii="Lato Medium" w:hAnsi="Lato Medium"/>
          <w:sz w:val="22"/>
          <w:szCs w:val="22"/>
        </w:rPr>
        <w:t xml:space="preserve"> Instancias técnicas rectoras del gasto corriente, la inversión pública y el seguimiento del PDESA 2026-2030/PGDESA 2026-2035.</w:t>
      </w:r>
    </w:p>
    <w:p w14:paraId="21BE0E89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</w:p>
    <w:p w14:paraId="1340676D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b/>
          <w:bCs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2. OBJETIVOS DE LA CONSULTORÍA</w:t>
      </w:r>
    </w:p>
    <w:p w14:paraId="410EC480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b/>
          <w:bCs/>
          <w:sz w:val="22"/>
          <w:szCs w:val="22"/>
        </w:rPr>
      </w:pPr>
    </w:p>
    <w:p w14:paraId="28CC8948" w14:textId="465EE1F1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b/>
          <w:bCs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2.1 Objetivo General</w:t>
      </w:r>
    </w:p>
    <w:p w14:paraId="3111C5DA" w14:textId="6D4CF1E1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 xml:space="preserve">Diseñar el marco conceptual, metodológico, normativo e institucional para el establecimiento del </w:t>
      </w:r>
      <w:r w:rsidRPr="00180730">
        <w:rPr>
          <w:rFonts w:ascii="Lato Medium" w:hAnsi="Lato Medium"/>
          <w:b/>
          <w:bCs/>
          <w:sz w:val="22"/>
          <w:szCs w:val="22"/>
        </w:rPr>
        <w:t>Mecanismo de Seguimiento y Monitoreo a la Inversión Pública y Gasto Social en Niñez y Adolescencia</w:t>
      </w:r>
      <w:r w:rsidRPr="00180730">
        <w:rPr>
          <w:rFonts w:ascii="Lato Medium" w:hAnsi="Lato Medium"/>
          <w:sz w:val="22"/>
          <w:szCs w:val="22"/>
        </w:rPr>
        <w:t>, institucionalmente anclado en la Defensoría del Pueblo y articulado a la Cámara de Diputados, el Viceministerio de Presupuesto y Contabilidad Fiscal y el VIPFE.</w:t>
      </w:r>
    </w:p>
    <w:p w14:paraId="11E0015B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b/>
          <w:bCs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2.2 Objetivos Específicos</w:t>
      </w:r>
    </w:p>
    <w:p w14:paraId="08D7551F" w14:textId="5B93E3B7" w:rsidR="003C1FD0" w:rsidRPr="00180730" w:rsidRDefault="003C1FD0" w:rsidP="003C1FD0">
      <w:pPr>
        <w:numPr>
          <w:ilvl w:val="0"/>
          <w:numId w:val="14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Mapeo y Diagnóstico Funcional:</w:t>
      </w:r>
      <w:r w:rsidRPr="00180730">
        <w:rPr>
          <w:rFonts w:ascii="Lato Medium" w:hAnsi="Lato Medium"/>
          <w:sz w:val="22"/>
          <w:szCs w:val="22"/>
        </w:rPr>
        <w:t xml:space="preserve"> Realizar un diagnóstico sobre las metodologías existentes de identificación/etiquetado de inversión pública y gasto social en </w:t>
      </w:r>
      <w:r w:rsidR="00DC6979">
        <w:rPr>
          <w:rFonts w:ascii="Lato Medium" w:hAnsi="Lato Medium"/>
          <w:sz w:val="22"/>
          <w:szCs w:val="22"/>
        </w:rPr>
        <w:lastRenderedPageBreak/>
        <w:t>Niñas, Niños y Adolescentes (</w:t>
      </w:r>
      <w:r w:rsidRPr="00180730">
        <w:rPr>
          <w:rFonts w:ascii="Lato Medium" w:hAnsi="Lato Medium"/>
          <w:sz w:val="22"/>
          <w:szCs w:val="22"/>
        </w:rPr>
        <w:t>NNA</w:t>
      </w:r>
      <w:r w:rsidR="00DC6979">
        <w:rPr>
          <w:rFonts w:ascii="Lato Medium" w:hAnsi="Lato Medium"/>
          <w:sz w:val="22"/>
          <w:szCs w:val="22"/>
        </w:rPr>
        <w:t>)</w:t>
      </w:r>
      <w:r w:rsidRPr="00180730">
        <w:rPr>
          <w:rFonts w:ascii="Lato Medium" w:hAnsi="Lato Medium"/>
          <w:sz w:val="22"/>
          <w:szCs w:val="22"/>
        </w:rPr>
        <w:t xml:space="preserve"> en Bolivia y </w:t>
      </w:r>
      <w:r w:rsidR="00DC6979">
        <w:rPr>
          <w:rFonts w:ascii="Lato Medium" w:hAnsi="Lato Medium"/>
          <w:sz w:val="22"/>
          <w:szCs w:val="22"/>
        </w:rPr>
        <w:t>por</w:t>
      </w:r>
      <w:r w:rsidR="00DC6979" w:rsidRPr="00180730">
        <w:rPr>
          <w:rFonts w:ascii="Lato Medium" w:hAnsi="Lato Medium"/>
          <w:sz w:val="22"/>
          <w:szCs w:val="22"/>
        </w:rPr>
        <w:t xml:space="preserve"> </w:t>
      </w:r>
      <w:r w:rsidRPr="00180730">
        <w:rPr>
          <w:rFonts w:ascii="Lato Medium" w:hAnsi="Lato Medium"/>
          <w:sz w:val="22"/>
          <w:szCs w:val="22"/>
        </w:rPr>
        <w:t xml:space="preserve">región, identificando los puntos de integración con las plataformas del </w:t>
      </w:r>
      <w:r w:rsidR="00DC6979">
        <w:rPr>
          <w:rFonts w:ascii="Lato Medium" w:hAnsi="Lato Medium"/>
          <w:sz w:val="22"/>
          <w:szCs w:val="22"/>
        </w:rPr>
        <w:t xml:space="preserve">Ministerio de Economía y Finanzas Publicas - </w:t>
      </w:r>
      <w:r w:rsidRPr="00180730">
        <w:rPr>
          <w:rFonts w:ascii="Lato Medium" w:hAnsi="Lato Medium"/>
          <w:sz w:val="22"/>
          <w:szCs w:val="22"/>
        </w:rPr>
        <w:t>MEFP (</w:t>
      </w:r>
      <w:r w:rsidR="00DC6979">
        <w:rPr>
          <w:rFonts w:ascii="Lato Medium" w:hAnsi="Lato Medium"/>
          <w:sz w:val="22"/>
          <w:szCs w:val="22"/>
        </w:rPr>
        <w:t xml:space="preserve">Sistema de Gestión Publica - </w:t>
      </w:r>
      <w:r w:rsidRPr="00180730">
        <w:rPr>
          <w:rFonts w:ascii="Lato Medium" w:hAnsi="Lato Medium"/>
          <w:sz w:val="22"/>
          <w:szCs w:val="22"/>
        </w:rPr>
        <w:t>SIGEP) y VIPFE (</w:t>
      </w:r>
      <w:r w:rsidR="00DC6979">
        <w:rPr>
          <w:rFonts w:ascii="Lato Medium" w:hAnsi="Lato Medium"/>
          <w:sz w:val="22"/>
          <w:szCs w:val="22"/>
        </w:rPr>
        <w:t xml:space="preserve">Sistema de Información sobre Inversiones - </w:t>
      </w:r>
      <w:r w:rsidRPr="00180730">
        <w:rPr>
          <w:rFonts w:ascii="Lato Medium" w:hAnsi="Lato Medium"/>
          <w:sz w:val="22"/>
          <w:szCs w:val="22"/>
        </w:rPr>
        <w:t>SISIN Web/</w:t>
      </w:r>
      <w:r w:rsidR="00DC6979" w:rsidRPr="00DC6979">
        <w:t xml:space="preserve"> </w:t>
      </w:r>
      <w:r w:rsidR="00DC6979" w:rsidRPr="00DC6979">
        <w:rPr>
          <w:rFonts w:ascii="Lato Medium" w:hAnsi="Lato Medium"/>
          <w:sz w:val="22"/>
          <w:szCs w:val="22"/>
        </w:rPr>
        <w:t xml:space="preserve">Sistema de Planificación Integral del Estado </w:t>
      </w:r>
      <w:r w:rsidR="00DC6979">
        <w:rPr>
          <w:rFonts w:ascii="Lato Medium" w:hAnsi="Lato Medium"/>
          <w:sz w:val="22"/>
          <w:szCs w:val="22"/>
        </w:rPr>
        <w:t xml:space="preserve">- </w:t>
      </w:r>
      <w:r w:rsidRPr="00180730">
        <w:rPr>
          <w:rFonts w:ascii="Lato Medium" w:hAnsi="Lato Medium"/>
          <w:sz w:val="22"/>
          <w:szCs w:val="22"/>
        </w:rPr>
        <w:t>SPIE).</w:t>
      </w:r>
    </w:p>
    <w:p w14:paraId="595BB934" w14:textId="40FD09AE" w:rsidR="003C1FD0" w:rsidRPr="00180730" w:rsidRDefault="003C1FD0" w:rsidP="003C1FD0">
      <w:pPr>
        <w:numPr>
          <w:ilvl w:val="0"/>
          <w:numId w:val="14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Propuesta Conceptual y Metodológica:</w:t>
      </w:r>
      <w:r w:rsidRPr="00180730">
        <w:rPr>
          <w:rFonts w:ascii="Lato Medium" w:hAnsi="Lato Medium"/>
          <w:sz w:val="22"/>
          <w:szCs w:val="22"/>
        </w:rPr>
        <w:t xml:space="preserve"> Desarrollar el marco técnico de clasificación y etiquetado presupuestario (gasto directo, indirecto y transversal) aplicable tanto al nivel central del Estado como a los Gobiernos Autónomos Departamentales (GAD) y Municipales (GAM).</w:t>
      </w:r>
    </w:p>
    <w:p w14:paraId="68EA547E" w14:textId="164D6F97" w:rsidR="003C1FD0" w:rsidRPr="00180730" w:rsidRDefault="003C1FD0" w:rsidP="003C1FD0">
      <w:pPr>
        <w:numPr>
          <w:ilvl w:val="0"/>
          <w:numId w:val="14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Modelo de Gobernanza e Interoperabilidad:</w:t>
      </w:r>
      <w:r w:rsidRPr="00180730">
        <w:rPr>
          <w:rFonts w:ascii="Lato Medium" w:hAnsi="Lato Medium"/>
          <w:sz w:val="22"/>
          <w:szCs w:val="22"/>
        </w:rPr>
        <w:t xml:space="preserve"> Definir el flujo de información, protocolo de gobernanza institucional y hoja de ruta para la articulación entre la Defensoría del Pueblo, la Cámara de Diputados, el MEFP y el VIPFE.</w:t>
      </w:r>
    </w:p>
    <w:p w14:paraId="3A8977E2" w14:textId="6614A21C" w:rsidR="003C1FD0" w:rsidRPr="00180730" w:rsidRDefault="003C1FD0" w:rsidP="003C1FD0">
      <w:pPr>
        <w:numPr>
          <w:ilvl w:val="0"/>
          <w:numId w:val="14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Instrumentos de Fiscalización y Veeduría:</w:t>
      </w:r>
      <w:r w:rsidRPr="00180730">
        <w:rPr>
          <w:rFonts w:ascii="Lato Medium" w:hAnsi="Lato Medium"/>
          <w:sz w:val="22"/>
          <w:szCs w:val="22"/>
        </w:rPr>
        <w:t xml:space="preserve"> Diseñar la estructura de los reportes periódicos de monitoreo (Observatorio/Boletín de Inversión) para el control legislativo y la rendición pública de cuentas a la sociedad civil.</w:t>
      </w:r>
    </w:p>
    <w:p w14:paraId="2772F54C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</w:p>
    <w:p w14:paraId="00393E4E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b/>
          <w:bCs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3. ALCANCE Y ACTIVIDADES PRINCIPALES</w:t>
      </w:r>
    </w:p>
    <w:p w14:paraId="4021A863" w14:textId="36BEC3BB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 xml:space="preserve">El/la consultor/a o equipo consultor trabajará bajo la supervisión de Save the Children y en constante coordinación con los enlaces técnicos designados por la Defensoría del Pueblo, la Cámara de Diputados, el </w:t>
      </w:r>
      <w:r w:rsidR="00DC6979">
        <w:rPr>
          <w:rFonts w:ascii="Lato Medium" w:hAnsi="Lato Medium"/>
          <w:sz w:val="22"/>
          <w:szCs w:val="22"/>
        </w:rPr>
        <w:t>Viceministerio de Presupuesto y Contabilidad Fiscal (</w:t>
      </w:r>
      <w:r w:rsidRPr="00180730">
        <w:rPr>
          <w:rFonts w:ascii="Lato Medium" w:hAnsi="Lato Medium"/>
          <w:sz w:val="22"/>
          <w:szCs w:val="22"/>
        </w:rPr>
        <w:t>VPCF</w:t>
      </w:r>
      <w:r w:rsidR="00DC6979">
        <w:rPr>
          <w:rFonts w:ascii="Lato Medium" w:hAnsi="Lato Medium"/>
          <w:sz w:val="22"/>
          <w:szCs w:val="22"/>
        </w:rPr>
        <w:t>)</w:t>
      </w:r>
      <w:r w:rsidRPr="00180730">
        <w:rPr>
          <w:rFonts w:ascii="Lato Medium" w:hAnsi="Lato Medium"/>
          <w:sz w:val="22"/>
          <w:szCs w:val="22"/>
        </w:rPr>
        <w:t xml:space="preserve"> y el </w:t>
      </w:r>
      <w:r w:rsidR="00DC6979">
        <w:rPr>
          <w:rFonts w:ascii="Lato Medium" w:hAnsi="Lato Medium"/>
          <w:sz w:val="22"/>
          <w:szCs w:val="22"/>
        </w:rPr>
        <w:t>Viceministerio de Inversión Publica y Financiamiento Externo (</w:t>
      </w:r>
      <w:r w:rsidRPr="00180730">
        <w:rPr>
          <w:rFonts w:ascii="Lato Medium" w:hAnsi="Lato Medium"/>
          <w:sz w:val="22"/>
          <w:szCs w:val="22"/>
        </w:rPr>
        <w:t>VIPFE</w:t>
      </w:r>
      <w:r w:rsidR="00DC6979">
        <w:rPr>
          <w:rFonts w:ascii="Lato Medium" w:hAnsi="Lato Medium"/>
          <w:sz w:val="22"/>
          <w:szCs w:val="22"/>
        </w:rPr>
        <w:t>)</w:t>
      </w:r>
      <w:r w:rsidRPr="00180730">
        <w:rPr>
          <w:rFonts w:ascii="Lato Medium" w:hAnsi="Lato Medium"/>
          <w:sz w:val="22"/>
          <w:szCs w:val="22"/>
        </w:rPr>
        <w:t>. Las actividades clave incluyen:</w:t>
      </w:r>
    </w:p>
    <w:p w14:paraId="6645B9D3" w14:textId="172F7F0D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b/>
          <w:bCs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A. Diagnóstico y análisis situacional</w:t>
      </w:r>
    </w:p>
    <w:p w14:paraId="65641EA9" w14:textId="3219F44C" w:rsidR="003C1FD0" w:rsidRPr="00180730" w:rsidRDefault="003C1FD0" w:rsidP="003C1FD0">
      <w:pPr>
        <w:numPr>
          <w:ilvl w:val="0"/>
          <w:numId w:val="15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Analizar los clasificadores presupuestarios actuales, las estructuras programáticas del SIGEP, SISIN Web y los lineamientos del SPIE (o SIPEB, como corresponda) para identificar entradas técnico-financieras asociadas a la niñez.</w:t>
      </w:r>
    </w:p>
    <w:p w14:paraId="0FE9F6D8" w14:textId="4D434E99" w:rsidR="003C1FD0" w:rsidRPr="00180730" w:rsidRDefault="003C1FD0" w:rsidP="003C1FD0">
      <w:pPr>
        <w:numPr>
          <w:ilvl w:val="0"/>
          <w:numId w:val="15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Revisar experiencias internacionales de "Presupuestos Sensibles a la Niñez" (</w:t>
      </w:r>
      <w:proofErr w:type="spellStart"/>
      <w:r w:rsidRPr="00180730">
        <w:rPr>
          <w:rFonts w:ascii="Lato Medium" w:hAnsi="Lato Medium"/>
          <w:sz w:val="22"/>
          <w:szCs w:val="22"/>
        </w:rPr>
        <w:t>child</w:t>
      </w:r>
      <w:proofErr w:type="spellEnd"/>
      <w:r w:rsidRPr="00180730">
        <w:rPr>
          <w:rFonts w:ascii="Lato Medium" w:hAnsi="Lato Medium"/>
          <w:sz w:val="22"/>
          <w:szCs w:val="22"/>
        </w:rPr>
        <w:t xml:space="preserve">-sensitive </w:t>
      </w:r>
      <w:proofErr w:type="spellStart"/>
      <w:r w:rsidRPr="00180730">
        <w:rPr>
          <w:rFonts w:ascii="Lato Medium" w:hAnsi="Lato Medium"/>
          <w:sz w:val="22"/>
          <w:szCs w:val="22"/>
        </w:rPr>
        <w:t>budgeting</w:t>
      </w:r>
      <w:proofErr w:type="spellEnd"/>
      <w:r w:rsidRPr="00180730">
        <w:rPr>
          <w:rFonts w:ascii="Lato Medium" w:hAnsi="Lato Medium"/>
          <w:sz w:val="22"/>
          <w:szCs w:val="22"/>
        </w:rPr>
        <w:t>) adaptables al contexto boliviano.</w:t>
      </w:r>
    </w:p>
    <w:p w14:paraId="6F2F9F88" w14:textId="63C1EE21" w:rsidR="003C1FD0" w:rsidRPr="00180730" w:rsidRDefault="003C1FD0" w:rsidP="003C1FD0">
      <w:pPr>
        <w:numPr>
          <w:ilvl w:val="0"/>
          <w:numId w:val="15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Entrevistar a actores clave de las 4 instituciones rectoras e identificar cuellos de botella para el flujo de información financiera.</w:t>
      </w:r>
    </w:p>
    <w:p w14:paraId="1108103B" w14:textId="71E27EDC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b/>
          <w:bCs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B. Construcción de la metodología de clasificación y etiquetado</w:t>
      </w:r>
    </w:p>
    <w:p w14:paraId="7D636998" w14:textId="77777777" w:rsidR="003C1FD0" w:rsidRPr="00180730" w:rsidRDefault="003C1FD0" w:rsidP="003C1FD0">
      <w:pPr>
        <w:numPr>
          <w:ilvl w:val="0"/>
          <w:numId w:val="16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Estructurar el criterio de clasificación de gasto en NNA: Directo (ej. servicios de protección, salas cuna, educación primaria), Indirecto (ej. agua potable, salud comunitaria) y Ampliado/Transversal.</w:t>
      </w:r>
    </w:p>
    <w:p w14:paraId="48A231A2" w14:textId="6CF16437" w:rsidR="003C1FD0" w:rsidRPr="00180730" w:rsidRDefault="003C1FD0" w:rsidP="003C1FD0">
      <w:pPr>
        <w:numPr>
          <w:ilvl w:val="0"/>
          <w:numId w:val="16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Establecer la metodología de ponderación y cálculo del gasto ejecutado vs. programado a nivel de PGDESA/PDESA, PEI y POA/Presupuesto.</w:t>
      </w:r>
    </w:p>
    <w:p w14:paraId="5161D485" w14:textId="747D16C0" w:rsidR="003C1FD0" w:rsidRPr="00180730" w:rsidRDefault="003C1FD0" w:rsidP="003C1FD0">
      <w:pPr>
        <w:numPr>
          <w:ilvl w:val="0"/>
          <w:numId w:val="16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Adaptar el esquema técnico para que sea interoperable y replicable en el nivel subnacional (</w:t>
      </w:r>
      <w:proofErr w:type="spellStart"/>
      <w:r w:rsidRPr="00180730">
        <w:rPr>
          <w:rFonts w:ascii="Lato Medium" w:hAnsi="Lato Medium"/>
          <w:sz w:val="22"/>
          <w:szCs w:val="22"/>
        </w:rPr>
        <w:t>GADs</w:t>
      </w:r>
      <w:proofErr w:type="spellEnd"/>
      <w:r w:rsidRPr="00180730">
        <w:rPr>
          <w:rFonts w:ascii="Lato Medium" w:hAnsi="Lato Medium"/>
          <w:sz w:val="22"/>
          <w:szCs w:val="22"/>
        </w:rPr>
        <w:t xml:space="preserve"> y GAMs).</w:t>
      </w:r>
    </w:p>
    <w:p w14:paraId="3122D9CB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b/>
          <w:bCs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C. Diseño de Gobernanza y Rutas Operativas</w:t>
      </w:r>
    </w:p>
    <w:p w14:paraId="1AC7A862" w14:textId="06283D8D" w:rsidR="003C1FD0" w:rsidRPr="00180730" w:rsidRDefault="003C1FD0" w:rsidP="003C1FD0">
      <w:pPr>
        <w:numPr>
          <w:ilvl w:val="0"/>
          <w:numId w:val="17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Definir los Roles y Funciones del Mecanismo:</w:t>
      </w:r>
    </w:p>
    <w:p w14:paraId="4D3A3083" w14:textId="174FABB0" w:rsidR="003C1FD0" w:rsidRPr="00180730" w:rsidRDefault="003C1FD0" w:rsidP="003C1FD0">
      <w:pPr>
        <w:numPr>
          <w:ilvl w:val="1"/>
          <w:numId w:val="17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Defensoría del Pueblo:</w:t>
      </w:r>
      <w:r w:rsidRPr="00180730">
        <w:rPr>
          <w:rFonts w:ascii="Lato Medium" w:hAnsi="Lato Medium"/>
          <w:sz w:val="22"/>
          <w:szCs w:val="22"/>
        </w:rPr>
        <w:t xml:space="preserve"> Procesamiento analítico, emisión de alertas defensoriales y monitoreo de derechos.</w:t>
      </w:r>
    </w:p>
    <w:p w14:paraId="2FA4F423" w14:textId="268EF873" w:rsidR="003C1FD0" w:rsidRPr="00180730" w:rsidRDefault="003C1FD0" w:rsidP="003C1FD0">
      <w:pPr>
        <w:numPr>
          <w:ilvl w:val="1"/>
          <w:numId w:val="17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Cámara de Diputados:</w:t>
      </w:r>
      <w:r w:rsidRPr="00180730">
        <w:rPr>
          <w:rFonts w:ascii="Lato Medium" w:hAnsi="Lato Medium"/>
          <w:sz w:val="22"/>
          <w:szCs w:val="22"/>
        </w:rPr>
        <w:t xml:space="preserve"> Insumos para la aprobación del Presupuesto General del Estado (PGE) y fiscalización de ejecuciones deficientes.</w:t>
      </w:r>
    </w:p>
    <w:p w14:paraId="586E98FD" w14:textId="23F1A5B4" w:rsidR="003C1FD0" w:rsidRPr="00180730" w:rsidRDefault="003C1FD0" w:rsidP="003C1FD0">
      <w:pPr>
        <w:numPr>
          <w:ilvl w:val="1"/>
          <w:numId w:val="17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VPCF y VIPFE:</w:t>
      </w:r>
      <w:r w:rsidRPr="00180730">
        <w:rPr>
          <w:rFonts w:ascii="Lato Medium" w:hAnsi="Lato Medium"/>
          <w:sz w:val="22"/>
          <w:szCs w:val="22"/>
        </w:rPr>
        <w:t xml:space="preserve"> Apertura de clasificadores/marcadores, reporte de datos presupuestarios y de proyectos de inversión.</w:t>
      </w:r>
    </w:p>
    <w:p w14:paraId="025A8945" w14:textId="07798D15" w:rsidR="003C1FD0" w:rsidRPr="00180730" w:rsidRDefault="003C1FD0" w:rsidP="003C1FD0">
      <w:pPr>
        <w:numPr>
          <w:ilvl w:val="0"/>
          <w:numId w:val="17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Establecer la frecuencia, formato y canales de transferencia de datos técnicos.</w:t>
      </w:r>
    </w:p>
    <w:p w14:paraId="54113B72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</w:p>
    <w:p w14:paraId="34226D3D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b/>
          <w:bCs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4. PRODUCTOS ESPERADOS</w:t>
      </w:r>
    </w:p>
    <w:p w14:paraId="62E8450A" w14:textId="47543B25" w:rsidR="003C1FD0" w:rsidRPr="00180730" w:rsidRDefault="003C1FD0" w:rsidP="003C1FD0">
      <w:pPr>
        <w:numPr>
          <w:ilvl w:val="0"/>
          <w:numId w:val="20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Producto 1:</w:t>
      </w:r>
      <w:r w:rsidRPr="00180730">
        <w:rPr>
          <w:rFonts w:ascii="Lato Medium" w:hAnsi="Lato Medium"/>
          <w:sz w:val="22"/>
          <w:szCs w:val="22"/>
        </w:rPr>
        <w:t xml:space="preserve"> Plan de Trabajo, estrategia de abordaje de actores institucionales y mapeo/diagnóstico de partida sobre la visibilización del gasto en niñez en Bolivia.</w:t>
      </w:r>
    </w:p>
    <w:p w14:paraId="3297AA91" w14:textId="49E5DD49" w:rsidR="003C1FD0" w:rsidRPr="00180730" w:rsidRDefault="003C1FD0" w:rsidP="003C1FD0">
      <w:pPr>
        <w:numPr>
          <w:ilvl w:val="0"/>
          <w:numId w:val="20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lastRenderedPageBreak/>
        <w:t>Producto 2:</w:t>
      </w:r>
      <w:r w:rsidRPr="00180730">
        <w:rPr>
          <w:rFonts w:ascii="Lato Medium" w:hAnsi="Lato Medium"/>
          <w:sz w:val="22"/>
          <w:szCs w:val="22"/>
        </w:rPr>
        <w:t xml:space="preserve"> Documento Metodológico de Clasificación, Etiquetado y Medición del Gasto Social e Inversión Pública en Niñez y Adolescencia (Nacional y Subnacional).</w:t>
      </w:r>
    </w:p>
    <w:p w14:paraId="33661B63" w14:textId="785DE2D3" w:rsidR="003C1FD0" w:rsidRPr="00180730" w:rsidRDefault="003C1FD0" w:rsidP="003C1FD0">
      <w:pPr>
        <w:numPr>
          <w:ilvl w:val="0"/>
          <w:numId w:val="20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Producto 3:</w:t>
      </w:r>
      <w:r w:rsidRPr="00180730">
        <w:rPr>
          <w:rFonts w:ascii="Lato Medium" w:hAnsi="Lato Medium"/>
          <w:sz w:val="22"/>
          <w:szCs w:val="22"/>
        </w:rPr>
        <w:t xml:space="preserve"> Documento Final Consolidado del Mecanismo y Memoria del Taller de Validación con la Defensoría del Pueblo, Diputados, MEFP, VIPFE y Save the Children.</w:t>
      </w:r>
    </w:p>
    <w:p w14:paraId="6F357FED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</w:p>
    <w:p w14:paraId="72799491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b/>
          <w:bCs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5. PERFIL Y REQUISITOS DEL CONSULTOR/A O EQUIPO CONSULTOR</w:t>
      </w:r>
    </w:p>
    <w:p w14:paraId="3D45670D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b/>
          <w:bCs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5.1 Formación Académica</w:t>
      </w:r>
    </w:p>
    <w:p w14:paraId="537B9F2C" w14:textId="4D9EEC69" w:rsidR="003C1FD0" w:rsidRPr="00180730" w:rsidRDefault="003C1FD0" w:rsidP="003C1FD0">
      <w:pPr>
        <w:numPr>
          <w:ilvl w:val="0"/>
          <w:numId w:val="21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Licenciatura en Economía, Finanzas Públicas, Auditoría, Ciencias Políticas, Derecho o áreas afines.</w:t>
      </w:r>
    </w:p>
    <w:p w14:paraId="483E3440" w14:textId="0F780E99" w:rsidR="003C1FD0" w:rsidRPr="00180730" w:rsidRDefault="003C1FD0" w:rsidP="003C1FD0">
      <w:pPr>
        <w:numPr>
          <w:ilvl w:val="0"/>
          <w:numId w:val="21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Postgrado (Maestría o Especialidad) en Gestión Pública, Finanzas Públicas, Presupuesto por Resultados, Políticas Sociales o Derechos Humanos.</w:t>
      </w:r>
    </w:p>
    <w:p w14:paraId="1567626E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b/>
          <w:bCs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5.2 Experiencia General</w:t>
      </w:r>
    </w:p>
    <w:p w14:paraId="3A37CE02" w14:textId="77777777" w:rsidR="003C1FD0" w:rsidRPr="00180730" w:rsidRDefault="003C1FD0" w:rsidP="003C1FD0">
      <w:pPr>
        <w:numPr>
          <w:ilvl w:val="0"/>
          <w:numId w:val="22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Mínimo de ocho (8) años de experiencia profesional en gestión pública, finanzas públicas, planificación del Estado o análisis de políticas sociales en Bolivia.</w:t>
      </w:r>
    </w:p>
    <w:p w14:paraId="7CB0A123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b/>
          <w:bCs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5.3 Experiencia Específica</w:t>
      </w:r>
    </w:p>
    <w:p w14:paraId="1F22C729" w14:textId="77777777" w:rsidR="003C1FD0" w:rsidRPr="00180730" w:rsidRDefault="003C1FD0" w:rsidP="003C1FD0">
      <w:pPr>
        <w:numPr>
          <w:ilvl w:val="0"/>
          <w:numId w:val="23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Experiencia demostrada de al menos cuatro (4) años en análisis de presupuestos públicos, sistemas de información financiera del Estado (SIGEP, SISIN, SPIE) o formulación de presupuestos sensibles a género/infancia/poblaciones vulnerables.</w:t>
      </w:r>
    </w:p>
    <w:p w14:paraId="557082DB" w14:textId="77777777" w:rsidR="003C1FD0" w:rsidRPr="00180730" w:rsidRDefault="003C1FD0" w:rsidP="003C1FD0">
      <w:pPr>
        <w:numPr>
          <w:ilvl w:val="0"/>
          <w:numId w:val="23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 xml:space="preserve">Conocimiento profundo del marco normativo e institucional boliviano: Ley </w:t>
      </w:r>
      <w:proofErr w:type="spellStart"/>
      <w:r w:rsidRPr="00180730">
        <w:rPr>
          <w:rFonts w:ascii="Lato Medium" w:hAnsi="Lato Medium"/>
          <w:sz w:val="22"/>
          <w:szCs w:val="22"/>
        </w:rPr>
        <w:t>N°</w:t>
      </w:r>
      <w:proofErr w:type="spellEnd"/>
      <w:r w:rsidRPr="00180730">
        <w:rPr>
          <w:rFonts w:ascii="Lato Medium" w:hAnsi="Lato Medium"/>
          <w:sz w:val="22"/>
          <w:szCs w:val="22"/>
        </w:rPr>
        <w:t xml:space="preserve"> 1178 (SAFCO), Ley </w:t>
      </w:r>
      <w:proofErr w:type="spellStart"/>
      <w:r w:rsidRPr="00180730">
        <w:rPr>
          <w:rFonts w:ascii="Lato Medium" w:hAnsi="Lato Medium"/>
          <w:sz w:val="22"/>
          <w:szCs w:val="22"/>
        </w:rPr>
        <w:t>N°</w:t>
      </w:r>
      <w:proofErr w:type="spellEnd"/>
      <w:r w:rsidRPr="00180730">
        <w:rPr>
          <w:rFonts w:ascii="Lato Medium" w:hAnsi="Lato Medium"/>
          <w:sz w:val="22"/>
          <w:szCs w:val="22"/>
        </w:rPr>
        <w:t xml:space="preserve"> 777 (SPIE), Ley </w:t>
      </w:r>
      <w:proofErr w:type="spellStart"/>
      <w:r w:rsidRPr="00180730">
        <w:rPr>
          <w:rFonts w:ascii="Lato Medium" w:hAnsi="Lato Medium"/>
          <w:sz w:val="22"/>
          <w:szCs w:val="22"/>
        </w:rPr>
        <w:t>N°</w:t>
      </w:r>
      <w:proofErr w:type="spellEnd"/>
      <w:r w:rsidRPr="00180730">
        <w:rPr>
          <w:rFonts w:ascii="Lato Medium" w:hAnsi="Lato Medium"/>
          <w:sz w:val="22"/>
          <w:szCs w:val="22"/>
        </w:rPr>
        <w:t xml:space="preserve"> 548 (Código Niña, Niño y Adolescente), y normativa de los Gobiernos Autónomos (Ley </w:t>
      </w:r>
      <w:proofErr w:type="spellStart"/>
      <w:r w:rsidRPr="00180730">
        <w:rPr>
          <w:rFonts w:ascii="Lato Medium" w:hAnsi="Lato Medium"/>
          <w:sz w:val="22"/>
          <w:szCs w:val="22"/>
        </w:rPr>
        <w:t>N°</w:t>
      </w:r>
      <w:proofErr w:type="spellEnd"/>
      <w:r w:rsidRPr="00180730">
        <w:rPr>
          <w:rFonts w:ascii="Lato Medium" w:hAnsi="Lato Medium"/>
          <w:sz w:val="22"/>
          <w:szCs w:val="22"/>
        </w:rPr>
        <w:t xml:space="preserve"> 031).</w:t>
      </w:r>
    </w:p>
    <w:p w14:paraId="65B5C81A" w14:textId="77777777" w:rsidR="003C1FD0" w:rsidRPr="00180730" w:rsidRDefault="003C1FD0" w:rsidP="003C1FD0">
      <w:pPr>
        <w:numPr>
          <w:ilvl w:val="0"/>
          <w:numId w:val="23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Experiencia previa de trabajo o coordinación con la Defensoría del Pueblo, Asamblea Legislativa Plurinacional, Ministerio de Economía y Finanzas Públicas o Ministerio de Planificación del Desarrollo.</w:t>
      </w:r>
    </w:p>
    <w:p w14:paraId="3A8C2C45" w14:textId="77777777" w:rsidR="003C1FD0" w:rsidRPr="00180730" w:rsidRDefault="003C1FD0" w:rsidP="003C1FD0">
      <w:pPr>
        <w:numPr>
          <w:ilvl w:val="0"/>
          <w:numId w:val="23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Capacidad demostrada para la facilitación de mesas técnicas e interlocución a alto nivel gubernamental.</w:t>
      </w:r>
    </w:p>
    <w:p w14:paraId="2E8B2F4E" w14:textId="77777777" w:rsidR="003C1FD0" w:rsidRPr="00180730" w:rsidRDefault="003C1FD0" w:rsidP="003C1FD0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</w:p>
    <w:p w14:paraId="0E27230A" w14:textId="77777777" w:rsidR="002A0441" w:rsidRPr="00180730" w:rsidRDefault="002A0441" w:rsidP="003C1FD0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</w:p>
    <w:p w14:paraId="518CA1E2" w14:textId="7A9D0C2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b/>
          <w:bCs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6. FORMA DE PAGO</w:t>
      </w:r>
    </w:p>
    <w:p w14:paraId="1B2B2E59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</w:p>
    <w:p w14:paraId="65837E1A" w14:textId="09767031" w:rsidR="002A0441" w:rsidRPr="00180730" w:rsidRDefault="002A0441" w:rsidP="002A044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30%  a la entrega del Plan de Trabajo, a los cinco días de suscripción del contrato de servicios.</w:t>
      </w:r>
    </w:p>
    <w:p w14:paraId="6DA2FFF0" w14:textId="77777777" w:rsidR="002A0441" w:rsidRPr="00180730" w:rsidRDefault="002A0441" w:rsidP="002A044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70% a la entrega del producto final. El monto del contrato incluye todos los impuestos de ley por lo que el consultor será responsable de cumplir con las declaraciones a impuestos respectivas.</w:t>
      </w:r>
    </w:p>
    <w:p w14:paraId="5D71A4B7" w14:textId="50307270" w:rsidR="002A0441" w:rsidRPr="00180730" w:rsidRDefault="002A0441" w:rsidP="002A044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 xml:space="preserve">De acuerdo con lo establecido en la Ley </w:t>
      </w:r>
      <w:proofErr w:type="spellStart"/>
      <w:r w:rsidRPr="00180730">
        <w:rPr>
          <w:rFonts w:ascii="Lato Medium" w:hAnsi="Lato Medium"/>
          <w:sz w:val="22"/>
          <w:szCs w:val="22"/>
        </w:rPr>
        <w:t>Nº</w:t>
      </w:r>
      <w:proofErr w:type="spellEnd"/>
      <w:r w:rsidRPr="00180730">
        <w:rPr>
          <w:rFonts w:ascii="Lato Medium" w:hAnsi="Lato Medium"/>
          <w:sz w:val="22"/>
          <w:szCs w:val="22"/>
        </w:rPr>
        <w:t xml:space="preserve"> 065 de Pensiones, el/la consultor/a por producto tiene la obligación de efectuar contribuciones al Sistema Integral de Pensiones (SIP) como asegurado independiente. </w:t>
      </w:r>
    </w:p>
    <w:p w14:paraId="6BC8FA76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</w:p>
    <w:p w14:paraId="183D75FC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b/>
          <w:bCs/>
          <w:sz w:val="22"/>
          <w:szCs w:val="22"/>
        </w:rPr>
      </w:pPr>
    </w:p>
    <w:p w14:paraId="08E3F46E" w14:textId="0DF50D32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b/>
          <w:bCs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7. MARCO DE SALVAGUARDA INSTITUCIONAL Y POLÍTICA DE IGUALDAD DE GÉNERO</w:t>
      </w:r>
    </w:p>
    <w:p w14:paraId="2C24D610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b/>
          <w:bCs/>
          <w:sz w:val="22"/>
          <w:szCs w:val="22"/>
        </w:rPr>
      </w:pPr>
    </w:p>
    <w:p w14:paraId="1C34DCD6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 xml:space="preserve">Save the Children tiene como responsabilidad individual y colectiva asegurar que todas las niñas, niños adolescentes y adultos estén protegidos de actos deliberados o no intencionales que conducen a riesgos o a daños reales, con especial atención en aquellos que forman parte de nuestras intervenciones. Es por ello que, cuenta con Políticas de Salvaguarda, un código de conducta y herramientas de programación segura para prevenir riesgos y cualquier daño que pueda ser causado por su propio personal, representantes, </w:t>
      </w:r>
      <w:r w:rsidRPr="00180730">
        <w:rPr>
          <w:rFonts w:ascii="Lato Medium" w:hAnsi="Lato Medium"/>
          <w:sz w:val="22"/>
          <w:szCs w:val="22"/>
        </w:rPr>
        <w:lastRenderedPageBreak/>
        <w:t>consultores, socios, voluntarios, contratistas o visitantes, programas, proyectos u operaciones a nuestros beneficiarios.</w:t>
      </w:r>
    </w:p>
    <w:p w14:paraId="3308B9FC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</w:p>
    <w:p w14:paraId="70D3D3E2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 xml:space="preserve">Las políticas contempladas en nuestro marco de salvaguarda son: Salvaguarda de la niñez (CSG), Protección ante la Explotación, el abuso y el acoso Sexual (PSEAH), Política </w:t>
      </w:r>
      <w:proofErr w:type="spellStart"/>
      <w:r w:rsidRPr="00180730">
        <w:rPr>
          <w:rFonts w:ascii="Lato Medium" w:hAnsi="Lato Medium"/>
          <w:sz w:val="22"/>
          <w:szCs w:val="22"/>
        </w:rPr>
        <w:t>Antiacoso</w:t>
      </w:r>
      <w:proofErr w:type="spellEnd"/>
      <w:r w:rsidRPr="00180730">
        <w:rPr>
          <w:rFonts w:ascii="Lato Medium" w:hAnsi="Lato Medium"/>
          <w:sz w:val="22"/>
          <w:szCs w:val="22"/>
        </w:rPr>
        <w:t xml:space="preserve">, Intimidación y </w:t>
      </w:r>
      <w:proofErr w:type="spellStart"/>
      <w:r w:rsidRPr="00180730">
        <w:rPr>
          <w:rFonts w:ascii="Lato Medium" w:hAnsi="Lato Medium"/>
          <w:sz w:val="22"/>
          <w:szCs w:val="22"/>
        </w:rPr>
        <w:t>Bullying</w:t>
      </w:r>
      <w:proofErr w:type="spellEnd"/>
      <w:r w:rsidRPr="00180730">
        <w:rPr>
          <w:rFonts w:ascii="Lato Medium" w:hAnsi="Lato Medium"/>
          <w:sz w:val="22"/>
          <w:szCs w:val="22"/>
        </w:rPr>
        <w:t>; y, Código de conducta.</w:t>
      </w:r>
    </w:p>
    <w:p w14:paraId="09746F0E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</w:p>
    <w:p w14:paraId="52D51991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En cumplimiento de las políticas de CSG, PSEAH y nuestro código de conducta, se solicitará:</w:t>
      </w:r>
    </w:p>
    <w:p w14:paraId="5442B354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Durante el proceso de contratación y antes del inicio de actividades:</w:t>
      </w:r>
    </w:p>
    <w:p w14:paraId="1DE68DB0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</w:p>
    <w:p w14:paraId="30D64931" w14:textId="77777777" w:rsidR="002A0441" w:rsidRPr="00180730" w:rsidRDefault="002A0441" w:rsidP="002A0441">
      <w:pPr>
        <w:pStyle w:val="Prrafodelista"/>
        <w:numPr>
          <w:ilvl w:val="1"/>
          <w:numId w:val="26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Firma de compromiso de políticas.</w:t>
      </w:r>
    </w:p>
    <w:p w14:paraId="27C2B5BE" w14:textId="77777777" w:rsidR="002A0441" w:rsidRPr="00180730" w:rsidRDefault="002A0441" w:rsidP="002A0441">
      <w:pPr>
        <w:pStyle w:val="Prrafodelista"/>
        <w:numPr>
          <w:ilvl w:val="1"/>
          <w:numId w:val="26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Firma de adhesión al código de conducta.</w:t>
      </w:r>
    </w:p>
    <w:p w14:paraId="73C304CD" w14:textId="77777777" w:rsidR="002A0441" w:rsidRPr="00180730" w:rsidRDefault="002A0441" w:rsidP="002A0441">
      <w:pPr>
        <w:pStyle w:val="Prrafodelista"/>
        <w:numPr>
          <w:ilvl w:val="1"/>
          <w:numId w:val="26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Participar de una capacitación sobre salvaguarda, proporcionada por Save the Children (consultor/a y su equipo de profesionales, voluntarios o de apoyo).</w:t>
      </w:r>
    </w:p>
    <w:p w14:paraId="1B9C10F4" w14:textId="77777777" w:rsidR="002A0441" w:rsidRPr="00180730" w:rsidRDefault="002A0441" w:rsidP="002A0441">
      <w:pPr>
        <w:pStyle w:val="Prrafodelista"/>
        <w:numPr>
          <w:ilvl w:val="1"/>
          <w:numId w:val="26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Conocer los mecanismos de reporte y retroalimentación.</w:t>
      </w:r>
    </w:p>
    <w:p w14:paraId="4D432A72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</w:p>
    <w:p w14:paraId="24C02E08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Como parte del trabajo, se compromete a:</w:t>
      </w:r>
    </w:p>
    <w:p w14:paraId="7BB2C1D8" w14:textId="77777777" w:rsidR="002A0441" w:rsidRPr="00180730" w:rsidRDefault="002A0441" w:rsidP="002A044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 xml:space="preserve">Cumplir con las políticas y procedimientos de SC tales como salvaguarda de la niñez, indicación espontánea, contra el acoso y </w:t>
      </w:r>
      <w:proofErr w:type="spellStart"/>
      <w:r w:rsidRPr="00180730">
        <w:rPr>
          <w:rFonts w:ascii="Lato Medium" w:hAnsi="Lato Medium"/>
          <w:sz w:val="22"/>
          <w:szCs w:val="22"/>
        </w:rPr>
        <w:t>bullying</w:t>
      </w:r>
      <w:proofErr w:type="spellEnd"/>
      <w:r w:rsidRPr="00180730">
        <w:rPr>
          <w:rFonts w:ascii="Lato Medium" w:hAnsi="Lato Medium"/>
          <w:sz w:val="22"/>
          <w:szCs w:val="22"/>
        </w:rPr>
        <w:t>, Fraude, Salud y Seguridad y otras políticas pertinentes.</w:t>
      </w:r>
    </w:p>
    <w:p w14:paraId="13C36C9D" w14:textId="77777777" w:rsidR="002A0441" w:rsidRPr="00180730" w:rsidRDefault="002A0441" w:rsidP="002A044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Reportar cualquier incidente de abuso, violencia física, emocional o negligencia que afecte a algún niño, niña o adolescente, utilizando los mecanismos de reporte de SC.</w:t>
      </w:r>
    </w:p>
    <w:p w14:paraId="4B2A814D" w14:textId="77777777" w:rsidR="002A0441" w:rsidRPr="00180730" w:rsidRDefault="002A0441" w:rsidP="002A044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Reportar cualquier incidente de abuso o explotación contra adultos beneficiarios, utilizando los mecanismos de reporte de SC.</w:t>
      </w:r>
    </w:p>
    <w:p w14:paraId="38AF3EA4" w14:textId="77777777" w:rsidR="002A0441" w:rsidRPr="00180730" w:rsidRDefault="002A0441" w:rsidP="002A044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Reportar cualquier incumplimiento del Código de Conducta de Save the Children, utilizando los mecanismos de reporte de SC.</w:t>
      </w:r>
    </w:p>
    <w:p w14:paraId="3602E0FC" w14:textId="77777777" w:rsidR="002A0441" w:rsidRPr="00180730" w:rsidRDefault="002A0441" w:rsidP="002A0441">
      <w:pPr>
        <w:pStyle w:val="Prrafodelista"/>
        <w:spacing w:after="0" w:line="240" w:lineRule="auto"/>
        <w:jc w:val="both"/>
        <w:rPr>
          <w:rFonts w:ascii="Lato Medium" w:hAnsi="Lato Medium"/>
          <w:sz w:val="22"/>
          <w:szCs w:val="22"/>
        </w:rPr>
      </w:pPr>
    </w:p>
    <w:p w14:paraId="277E015C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En este contexto, el/la consultor/a está en la obligatoriedad de realizar el curso de Salvaguarda de manera previa al inicio de actividades inherentes a la consultoría.</w:t>
      </w:r>
    </w:p>
    <w:p w14:paraId="2806E9C9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</w:p>
    <w:p w14:paraId="2C4382D0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Save the Children busca la generación de política pública efectiva para la niñez, adolescencia, juventud y género, por lo que los consultores que se interrelacionan deben pasar el curso de capacitación en Género de la institución, por este motivo, de manera previa a la ejecución de actividades, deberán coordinar y programar el mismo. La igualdad de género es un derecho básico de las personas que incluye a las niñas y a los niños. En base en lo anterior, Save the Children cree que es crucial y crítico abordar directamente la discriminación de género y promover la igualdad de género para asegurar, por un lado, que ningún/a niño y niña sufra y, por otro lado, garantizar el logro de nuestra visión por un mundo en donde cada niña y niño cuente con igual derecho a la sobrevivencia, protección, desarrollo y participación.</w:t>
      </w:r>
    </w:p>
    <w:p w14:paraId="34FE2148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</w:p>
    <w:p w14:paraId="144F9815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</w:p>
    <w:p w14:paraId="4C8A17B3" w14:textId="13FDFEB3" w:rsidR="002A0441" w:rsidRPr="00180730" w:rsidRDefault="00E52BA3" w:rsidP="002A0441">
      <w:pPr>
        <w:spacing w:after="0" w:line="240" w:lineRule="auto"/>
        <w:jc w:val="both"/>
        <w:rPr>
          <w:rFonts w:ascii="Lato Medium" w:hAnsi="Lato Medium"/>
          <w:b/>
          <w:bCs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 xml:space="preserve">8. PROPIEDAD INTELECTUAL </w:t>
      </w:r>
    </w:p>
    <w:p w14:paraId="68BBFF19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b/>
          <w:bCs/>
          <w:sz w:val="22"/>
          <w:szCs w:val="22"/>
        </w:rPr>
      </w:pPr>
    </w:p>
    <w:p w14:paraId="0F365074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 xml:space="preserve">Los productos de la presente consultoría y los respectivos respaldos como las actas, fotografías, material utilizado, informes y otros generados, deben ser entregados en su totalidad en originales y serán de propiedad intelectual del Ministerio Publico por lo que cualquier uso de la información total y parcial sin autorización escrita por el contratante, se considerará una contravención al contrato suscrito. </w:t>
      </w:r>
    </w:p>
    <w:p w14:paraId="31B93AF9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</w:p>
    <w:p w14:paraId="2A182B37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 xml:space="preserve"> </w:t>
      </w:r>
    </w:p>
    <w:p w14:paraId="7C3E9EC4" w14:textId="1B547640" w:rsidR="002A0441" w:rsidRPr="00180730" w:rsidRDefault="00180730" w:rsidP="002A0441">
      <w:pPr>
        <w:spacing w:after="0" w:line="240" w:lineRule="auto"/>
        <w:jc w:val="both"/>
        <w:rPr>
          <w:rFonts w:ascii="Lato Medium" w:hAnsi="Lato Medium"/>
          <w:b/>
          <w:bCs/>
          <w:sz w:val="22"/>
          <w:szCs w:val="22"/>
        </w:rPr>
      </w:pPr>
      <w:r w:rsidRPr="00180730">
        <w:rPr>
          <w:rFonts w:ascii="Lato Medium" w:hAnsi="Lato Medium"/>
          <w:b/>
          <w:bCs/>
          <w:sz w:val="22"/>
          <w:szCs w:val="22"/>
        </w:rPr>
        <w:t>9</w:t>
      </w:r>
      <w:r w:rsidR="00E52BA3" w:rsidRPr="00180730">
        <w:rPr>
          <w:rFonts w:ascii="Lato Medium" w:hAnsi="Lato Medium"/>
          <w:b/>
          <w:bCs/>
          <w:sz w:val="22"/>
          <w:szCs w:val="22"/>
        </w:rPr>
        <w:t>.</w:t>
      </w:r>
      <w:r w:rsidRPr="00180730">
        <w:rPr>
          <w:rFonts w:ascii="Lato Medium" w:hAnsi="Lato Medium"/>
          <w:b/>
          <w:bCs/>
          <w:sz w:val="22"/>
          <w:szCs w:val="22"/>
        </w:rPr>
        <w:t xml:space="preserve"> </w:t>
      </w:r>
      <w:r w:rsidR="00E52BA3" w:rsidRPr="00180730">
        <w:rPr>
          <w:rFonts w:ascii="Lato Medium" w:hAnsi="Lato Medium"/>
          <w:b/>
          <w:bCs/>
          <w:sz w:val="22"/>
          <w:szCs w:val="22"/>
        </w:rPr>
        <w:t xml:space="preserve">CONDICIONES ADMINISTRATIVAS </w:t>
      </w:r>
    </w:p>
    <w:p w14:paraId="095DB17A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b/>
          <w:bCs/>
          <w:sz w:val="22"/>
          <w:szCs w:val="22"/>
        </w:rPr>
      </w:pPr>
    </w:p>
    <w:p w14:paraId="6A6E5AED" w14:textId="77777777" w:rsidR="002A0441" w:rsidRPr="00180730" w:rsidRDefault="002A0441" w:rsidP="002A0441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 xml:space="preserve">Se prevé una penalización del 1% del importe total, por día de incumplimiento en los plazos establecidos. </w:t>
      </w:r>
    </w:p>
    <w:p w14:paraId="30502732" w14:textId="25542FAE" w:rsidR="001D0A99" w:rsidRDefault="002A0441" w:rsidP="003C1FD0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  <w:r w:rsidRPr="00180730">
        <w:rPr>
          <w:rFonts w:ascii="Lato Medium" w:hAnsi="Lato Medium"/>
          <w:sz w:val="22"/>
          <w:szCs w:val="22"/>
        </w:rPr>
        <w:t>Una vez que el/la consultor/a haya sido seleccionado/a, y de forma previa a su contratación, deberá ser capacitada/a respecto al Código de Conducta y a la Política de Protección Infantil de SCI y deberán firmar un documento en el que se comprometen a observar de manera obligatoria lo establecido en ambas. Estos requisitos responden al mandato institucional de SCI de garantizar la integridad y protección de los niños, niñas y adolescentes por parte de todo el personal relacionado con la institución.</w:t>
      </w:r>
    </w:p>
    <w:p w14:paraId="223E3A1B" w14:textId="77777777" w:rsidR="00C95090" w:rsidRDefault="00C95090" w:rsidP="003C1FD0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</w:p>
    <w:p w14:paraId="108C6BA7" w14:textId="16EFB0BC" w:rsidR="00C95090" w:rsidRPr="00505A29" w:rsidRDefault="00A75CB5" w:rsidP="00C95090">
      <w:pPr>
        <w:rPr>
          <w:rFonts w:ascii="Lato" w:hAnsi="Lato"/>
          <w:b/>
          <w:bCs/>
          <w:sz w:val="22"/>
          <w:szCs w:val="22"/>
        </w:rPr>
      </w:pPr>
      <w:r>
        <w:rPr>
          <w:rFonts w:ascii="Lato" w:hAnsi="Lato"/>
          <w:b/>
          <w:bCs/>
          <w:sz w:val="22"/>
          <w:szCs w:val="22"/>
        </w:rPr>
        <w:t xml:space="preserve">10. </w:t>
      </w:r>
      <w:r w:rsidR="00C95090" w:rsidRPr="00505A29">
        <w:rPr>
          <w:rFonts w:ascii="Lato" w:hAnsi="Lato"/>
          <w:b/>
          <w:bCs/>
          <w:sz w:val="22"/>
          <w:szCs w:val="22"/>
        </w:rPr>
        <w:t>PLAZOS DE ENTREGA Y CONSULTAS</w:t>
      </w:r>
    </w:p>
    <w:p w14:paraId="760A9D30" w14:textId="77777777" w:rsidR="00C95090" w:rsidRPr="00505A29" w:rsidRDefault="00C95090" w:rsidP="00C95090">
      <w:pPr>
        <w:rPr>
          <w:rFonts w:ascii="Lato" w:hAnsi="Lato"/>
          <w:sz w:val="22"/>
          <w:szCs w:val="22"/>
        </w:rPr>
      </w:pPr>
      <w:r w:rsidRPr="00505A29">
        <w:rPr>
          <w:rFonts w:ascii="Lato" w:hAnsi="Lato"/>
          <w:sz w:val="22"/>
          <w:szCs w:val="22"/>
        </w:rPr>
        <w:t xml:space="preserve">Las propuestas deberán ser presentadas vía correo electrónico con firma electrónica o escaneada del proponente hasta la fecha límite indicada en la convocatoria pública: </w:t>
      </w:r>
    </w:p>
    <w:p w14:paraId="103D2B22" w14:textId="5FEBA83C" w:rsidR="00C95090" w:rsidRDefault="00C95090" w:rsidP="00C95090">
      <w:pPr>
        <w:numPr>
          <w:ilvl w:val="0"/>
          <w:numId w:val="27"/>
        </w:numPr>
        <w:rPr>
          <w:rFonts w:ascii="Lato" w:hAnsi="Lato"/>
          <w:sz w:val="22"/>
          <w:szCs w:val="22"/>
        </w:rPr>
      </w:pPr>
      <w:r w:rsidRPr="00505A29">
        <w:rPr>
          <w:rFonts w:ascii="Lato" w:hAnsi="Lato"/>
          <w:b/>
          <w:bCs/>
          <w:sz w:val="22"/>
          <w:szCs w:val="22"/>
        </w:rPr>
        <w:t>Correo para envío de propuestas:</w:t>
      </w:r>
      <w:r w:rsidRPr="00505A29">
        <w:rPr>
          <w:rFonts w:ascii="Lato" w:hAnsi="Lato"/>
          <w:sz w:val="22"/>
          <w:szCs w:val="22"/>
        </w:rPr>
        <w:t xml:space="preserve"> </w:t>
      </w:r>
      <w:hyperlink r:id="rId5" w:history="1">
        <w:r w:rsidRPr="00312FDE">
          <w:rPr>
            <w:rStyle w:val="Hipervnculo"/>
            <w:rFonts w:ascii="Lato" w:hAnsi="Lato"/>
            <w:sz w:val="22"/>
            <w:szCs w:val="22"/>
          </w:rPr>
          <w:t>rosario.portocarrero@savethechildren.org</w:t>
        </w:r>
      </w:hyperlink>
    </w:p>
    <w:p w14:paraId="15AC7206" w14:textId="77777777" w:rsidR="00C95090" w:rsidRPr="00505A29" w:rsidRDefault="00C95090" w:rsidP="00C95090">
      <w:pPr>
        <w:rPr>
          <w:rFonts w:ascii="Lato" w:hAnsi="Lato"/>
          <w:sz w:val="22"/>
          <w:szCs w:val="22"/>
        </w:rPr>
      </w:pPr>
      <w:r w:rsidRPr="00505A29">
        <w:rPr>
          <w:rFonts w:ascii="Lato" w:hAnsi="Lato"/>
          <w:i/>
          <w:iCs/>
          <w:sz w:val="22"/>
          <w:szCs w:val="22"/>
        </w:rPr>
        <w:t>Asunto:</w:t>
      </w:r>
      <w:r w:rsidRPr="00505A29">
        <w:rPr>
          <w:rFonts w:ascii="Lato" w:hAnsi="Lato"/>
          <w:sz w:val="22"/>
          <w:szCs w:val="22"/>
        </w:rPr>
        <w:t xml:space="preserve"> CONSULTORÍA Estudio de Caso sobre el Impacto de la Mejora de los Servicios AIDA – Cochabamba </w:t>
      </w:r>
    </w:p>
    <w:p w14:paraId="139F0C46" w14:textId="02C4E6FF" w:rsidR="00C95090" w:rsidRPr="00505A29" w:rsidRDefault="00C95090" w:rsidP="00C95090">
      <w:pPr>
        <w:numPr>
          <w:ilvl w:val="0"/>
          <w:numId w:val="27"/>
        </w:numPr>
        <w:rPr>
          <w:rFonts w:ascii="Lato" w:hAnsi="Lato"/>
          <w:sz w:val="22"/>
          <w:szCs w:val="22"/>
        </w:rPr>
      </w:pPr>
      <w:r w:rsidRPr="00505A29">
        <w:rPr>
          <w:rFonts w:ascii="Lato" w:hAnsi="Lato"/>
          <w:b/>
          <w:bCs/>
          <w:sz w:val="22"/>
          <w:szCs w:val="22"/>
        </w:rPr>
        <w:t>Consultas técnicas:</w:t>
      </w:r>
      <w:r w:rsidRPr="00505A29">
        <w:rPr>
          <w:rFonts w:ascii="Lato" w:hAnsi="Lato"/>
          <w:sz w:val="22"/>
          <w:szCs w:val="22"/>
        </w:rPr>
        <w:t xml:space="preserve"> </w:t>
      </w:r>
      <w:r>
        <w:rPr>
          <w:rFonts w:ascii="Lato" w:hAnsi="Lato"/>
          <w:sz w:val="22"/>
          <w:szCs w:val="22"/>
        </w:rPr>
        <w:t>bernardo.delcastillo</w:t>
      </w:r>
      <w:r w:rsidRPr="00505A29">
        <w:rPr>
          <w:rFonts w:ascii="Lato" w:hAnsi="Lato"/>
          <w:sz w:val="22"/>
          <w:szCs w:val="22"/>
        </w:rPr>
        <w:t xml:space="preserve">@savethechildren.org / carlos.arnez@savethechildren.org </w:t>
      </w:r>
    </w:p>
    <w:p w14:paraId="4FEEEAB8" w14:textId="77777777" w:rsidR="00C95090" w:rsidRDefault="00C95090" w:rsidP="00C95090">
      <w:pPr>
        <w:numPr>
          <w:ilvl w:val="0"/>
          <w:numId w:val="27"/>
        </w:numPr>
        <w:rPr>
          <w:rFonts w:ascii="Lato" w:hAnsi="Lato"/>
          <w:sz w:val="22"/>
          <w:szCs w:val="22"/>
        </w:rPr>
      </w:pPr>
      <w:r w:rsidRPr="00505A29">
        <w:rPr>
          <w:rFonts w:ascii="Lato" w:hAnsi="Lato"/>
          <w:b/>
          <w:bCs/>
          <w:sz w:val="22"/>
          <w:szCs w:val="22"/>
        </w:rPr>
        <w:t>Consultas administrativas:</w:t>
      </w:r>
      <w:r w:rsidRPr="00505A29">
        <w:rPr>
          <w:rFonts w:ascii="Lato" w:hAnsi="Lato"/>
          <w:sz w:val="22"/>
          <w:szCs w:val="22"/>
        </w:rPr>
        <w:t xml:space="preserve"> </w:t>
      </w:r>
      <w:hyperlink r:id="rId6" w:history="1">
        <w:r w:rsidRPr="00312FDE">
          <w:rPr>
            <w:rStyle w:val="Hipervnculo"/>
            <w:rFonts w:ascii="Lato" w:hAnsi="Lato"/>
            <w:sz w:val="22"/>
            <w:szCs w:val="22"/>
          </w:rPr>
          <w:t>rosario.portocarrero@savethechildren.org</w:t>
        </w:r>
      </w:hyperlink>
    </w:p>
    <w:p w14:paraId="2F5B0535" w14:textId="77777777" w:rsidR="00C95090" w:rsidRPr="00505A29" w:rsidRDefault="00C95090" w:rsidP="00C95090">
      <w:pPr>
        <w:rPr>
          <w:rFonts w:ascii="Lato" w:hAnsi="Lato"/>
          <w:sz w:val="22"/>
          <w:szCs w:val="22"/>
        </w:rPr>
      </w:pPr>
    </w:p>
    <w:p w14:paraId="51E39533" w14:textId="77777777" w:rsidR="00C95090" w:rsidRPr="00505A29" w:rsidRDefault="00C95090" w:rsidP="00C95090">
      <w:pPr>
        <w:rPr>
          <w:rFonts w:ascii="Lato" w:hAnsi="Lato"/>
          <w:sz w:val="22"/>
          <w:szCs w:val="22"/>
        </w:rPr>
      </w:pPr>
      <w:r w:rsidRPr="00505A29">
        <w:rPr>
          <w:rFonts w:ascii="Lato" w:hAnsi="Lato"/>
          <w:sz w:val="22"/>
          <w:szCs w:val="22"/>
        </w:rPr>
        <w:t xml:space="preserve">LOS PRESENTES TÉRMINOS DE REFERENCIA SON ENUNCIATIVOS Y DE ORIENTACIÓN, NO LIMITATIVOS, POR LO QUE EL PROPONENTE PUEDE MEJORAR LA PROPUESTA OPTIMIZANDO EL USO DE RECURSOS. </w:t>
      </w:r>
    </w:p>
    <w:p w14:paraId="22DFA24A" w14:textId="77777777" w:rsidR="00C95090" w:rsidRPr="00505A29" w:rsidRDefault="00C95090" w:rsidP="00C95090">
      <w:pPr>
        <w:rPr>
          <w:rFonts w:ascii="Lato" w:hAnsi="Lato"/>
          <w:sz w:val="22"/>
          <w:szCs w:val="22"/>
        </w:rPr>
      </w:pPr>
    </w:p>
    <w:p w14:paraId="116B100C" w14:textId="77777777" w:rsidR="00C95090" w:rsidRPr="00180730" w:rsidRDefault="00C95090" w:rsidP="003C1FD0">
      <w:pPr>
        <w:spacing w:after="0" w:line="240" w:lineRule="auto"/>
        <w:jc w:val="both"/>
        <w:rPr>
          <w:rFonts w:ascii="Lato Medium" w:hAnsi="Lato Medium"/>
          <w:sz w:val="22"/>
          <w:szCs w:val="22"/>
        </w:rPr>
      </w:pPr>
    </w:p>
    <w:sectPr w:rsidR="00C95090" w:rsidRPr="001807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 Medium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214E"/>
    <w:multiLevelType w:val="multilevel"/>
    <w:tmpl w:val="B99AB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6B3AC6"/>
    <w:multiLevelType w:val="multilevel"/>
    <w:tmpl w:val="EB68B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CC7813"/>
    <w:multiLevelType w:val="multilevel"/>
    <w:tmpl w:val="A5064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C63B9E"/>
    <w:multiLevelType w:val="multilevel"/>
    <w:tmpl w:val="CD908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D331BF"/>
    <w:multiLevelType w:val="multilevel"/>
    <w:tmpl w:val="4BD81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AC48EA"/>
    <w:multiLevelType w:val="multilevel"/>
    <w:tmpl w:val="B6DE1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F930CF"/>
    <w:multiLevelType w:val="multilevel"/>
    <w:tmpl w:val="45204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A155FB"/>
    <w:multiLevelType w:val="multilevel"/>
    <w:tmpl w:val="816A4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4B5AD5"/>
    <w:multiLevelType w:val="multilevel"/>
    <w:tmpl w:val="A740B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800" w:hanging="720"/>
      </w:pPr>
      <w:rPr>
        <w:rFonts w:ascii="Lato" w:eastAsiaTheme="minorHAnsi" w:hAnsi="Lato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20D98"/>
    <w:multiLevelType w:val="multilevel"/>
    <w:tmpl w:val="811A2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055E6A"/>
    <w:multiLevelType w:val="multilevel"/>
    <w:tmpl w:val="B9A4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1425FC"/>
    <w:multiLevelType w:val="multilevel"/>
    <w:tmpl w:val="C60C3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A15FFD"/>
    <w:multiLevelType w:val="multilevel"/>
    <w:tmpl w:val="51AA6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A774BD"/>
    <w:multiLevelType w:val="multilevel"/>
    <w:tmpl w:val="AE880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2D5E27"/>
    <w:multiLevelType w:val="multilevel"/>
    <w:tmpl w:val="8E141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711B8F"/>
    <w:multiLevelType w:val="multilevel"/>
    <w:tmpl w:val="C0D2D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6A641B"/>
    <w:multiLevelType w:val="hybridMultilevel"/>
    <w:tmpl w:val="EE54C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563391"/>
    <w:multiLevelType w:val="multilevel"/>
    <w:tmpl w:val="1F30D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83112E"/>
    <w:multiLevelType w:val="multilevel"/>
    <w:tmpl w:val="760AF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9B1093"/>
    <w:multiLevelType w:val="multilevel"/>
    <w:tmpl w:val="1E1C6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591DBE"/>
    <w:multiLevelType w:val="multilevel"/>
    <w:tmpl w:val="7F38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3232E2"/>
    <w:multiLevelType w:val="multilevel"/>
    <w:tmpl w:val="AAB8E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72270D"/>
    <w:multiLevelType w:val="multilevel"/>
    <w:tmpl w:val="A8401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A26B44"/>
    <w:multiLevelType w:val="multilevel"/>
    <w:tmpl w:val="990E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0054B5"/>
    <w:multiLevelType w:val="multilevel"/>
    <w:tmpl w:val="BED6B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07543B"/>
    <w:multiLevelType w:val="multilevel"/>
    <w:tmpl w:val="51E2B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1F1132"/>
    <w:multiLevelType w:val="multilevel"/>
    <w:tmpl w:val="D72E8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445612">
    <w:abstractNumId w:val="5"/>
  </w:num>
  <w:num w:numId="2" w16cid:durableId="1652632226">
    <w:abstractNumId w:val="1"/>
  </w:num>
  <w:num w:numId="3" w16cid:durableId="1832714829">
    <w:abstractNumId w:val="18"/>
  </w:num>
  <w:num w:numId="4" w16cid:durableId="991251421">
    <w:abstractNumId w:val="4"/>
  </w:num>
  <w:num w:numId="5" w16cid:durableId="71972182">
    <w:abstractNumId w:val="10"/>
  </w:num>
  <w:num w:numId="6" w16cid:durableId="1323316221">
    <w:abstractNumId w:val="20"/>
  </w:num>
  <w:num w:numId="7" w16cid:durableId="18707935">
    <w:abstractNumId w:val="14"/>
  </w:num>
  <w:num w:numId="8" w16cid:durableId="262222865">
    <w:abstractNumId w:val="12"/>
  </w:num>
  <w:num w:numId="9" w16cid:durableId="1823810713">
    <w:abstractNumId w:val="9"/>
  </w:num>
  <w:num w:numId="10" w16cid:durableId="1244340112">
    <w:abstractNumId w:val="15"/>
  </w:num>
  <w:num w:numId="11" w16cid:durableId="1772162758">
    <w:abstractNumId w:val="2"/>
  </w:num>
  <w:num w:numId="12" w16cid:durableId="1274945095">
    <w:abstractNumId w:val="26"/>
  </w:num>
  <w:num w:numId="13" w16cid:durableId="2035841505">
    <w:abstractNumId w:val="25"/>
  </w:num>
  <w:num w:numId="14" w16cid:durableId="1429690426">
    <w:abstractNumId w:val="7"/>
  </w:num>
  <w:num w:numId="15" w16cid:durableId="1973822765">
    <w:abstractNumId w:val="24"/>
  </w:num>
  <w:num w:numId="16" w16cid:durableId="1663007349">
    <w:abstractNumId w:val="22"/>
  </w:num>
  <w:num w:numId="17" w16cid:durableId="1093820218">
    <w:abstractNumId w:val="11"/>
  </w:num>
  <w:num w:numId="18" w16cid:durableId="11155659">
    <w:abstractNumId w:val="3"/>
  </w:num>
  <w:num w:numId="19" w16cid:durableId="1593077652">
    <w:abstractNumId w:val="0"/>
  </w:num>
  <w:num w:numId="20" w16cid:durableId="185951016">
    <w:abstractNumId w:val="19"/>
  </w:num>
  <w:num w:numId="21" w16cid:durableId="2145806576">
    <w:abstractNumId w:val="13"/>
  </w:num>
  <w:num w:numId="22" w16cid:durableId="1773890389">
    <w:abstractNumId w:val="6"/>
  </w:num>
  <w:num w:numId="23" w16cid:durableId="618415181">
    <w:abstractNumId w:val="23"/>
  </w:num>
  <w:num w:numId="24" w16cid:durableId="1627858552">
    <w:abstractNumId w:val="21"/>
  </w:num>
  <w:num w:numId="25" w16cid:durableId="1863785331">
    <w:abstractNumId w:val="16"/>
  </w:num>
  <w:num w:numId="26" w16cid:durableId="1102535412">
    <w:abstractNumId w:val="8"/>
  </w:num>
  <w:num w:numId="27" w16cid:durableId="81857429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FD0"/>
    <w:rsid w:val="0008409B"/>
    <w:rsid w:val="000E248B"/>
    <w:rsid w:val="00180730"/>
    <w:rsid w:val="001D0A99"/>
    <w:rsid w:val="002A0441"/>
    <w:rsid w:val="002F0ED1"/>
    <w:rsid w:val="00327797"/>
    <w:rsid w:val="003C1FD0"/>
    <w:rsid w:val="003E1B42"/>
    <w:rsid w:val="004F4F68"/>
    <w:rsid w:val="006C5578"/>
    <w:rsid w:val="00766026"/>
    <w:rsid w:val="008567E4"/>
    <w:rsid w:val="00903218"/>
    <w:rsid w:val="00A75CB5"/>
    <w:rsid w:val="00C85BD9"/>
    <w:rsid w:val="00C95090"/>
    <w:rsid w:val="00DC6979"/>
    <w:rsid w:val="00E52BA3"/>
    <w:rsid w:val="00EA4890"/>
    <w:rsid w:val="00EF5633"/>
    <w:rsid w:val="00EF70C5"/>
    <w:rsid w:val="00FE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1FE4A"/>
  <w15:chartTrackingRefBased/>
  <w15:docId w15:val="{04E03DD9-F0C0-40F7-9E86-05E639D36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B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BD9"/>
  </w:style>
  <w:style w:type="paragraph" w:styleId="Ttulo1">
    <w:name w:val="heading 1"/>
    <w:basedOn w:val="Normal"/>
    <w:next w:val="Normal"/>
    <w:link w:val="Ttulo1Car"/>
    <w:uiPriority w:val="9"/>
    <w:qFormat/>
    <w:rsid w:val="00C85B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85B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85B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85B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85B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85B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85B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85B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85B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85B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C85B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C85B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85B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85B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85B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85B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85B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85BD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85B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85B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85B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85B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rrafodelista">
    <w:name w:val="List Paragraph"/>
    <w:basedOn w:val="Normal"/>
    <w:uiPriority w:val="34"/>
    <w:qFormat/>
    <w:rsid w:val="00C85BD9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C85B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85BD9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85B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85BD9"/>
    <w:rPr>
      <w:i/>
      <w:iCs/>
      <w:color w:val="0F4761" w:themeColor="accent1" w:themeShade="BF"/>
    </w:rPr>
  </w:style>
  <w:style w:type="character" w:styleId="nfasisintenso">
    <w:name w:val="Intense Emphasis"/>
    <w:basedOn w:val="Fuentedeprrafopredeter"/>
    <w:uiPriority w:val="21"/>
    <w:qFormat/>
    <w:rsid w:val="00C85BD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85BD9"/>
    <w:rPr>
      <w:b/>
      <w:bCs/>
      <w:smallCaps/>
      <w:color w:val="0F4761" w:themeColor="accent1" w:themeShade="BF"/>
      <w:spacing w:val="5"/>
    </w:rPr>
  </w:style>
  <w:style w:type="paragraph" w:styleId="Revisin">
    <w:name w:val="Revision"/>
    <w:hidden/>
    <w:uiPriority w:val="99"/>
    <w:semiHidden/>
    <w:rsid w:val="00DC6979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C9509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950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sario.portocarrero@savethechildren.org" TargetMode="External"/><Relationship Id="rId5" Type="http://schemas.openxmlformats.org/officeDocument/2006/relationships/hyperlink" Target="mailto:rosario.portocarrero@savethechildren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ef3d19-1651-4452-b761-dc2414bf0416}" enabled="0" method="" siteId="{37ef3d19-1651-4452-b761-dc2414bf04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2049</Words>
  <Characters>11275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Santander, Franklin</dc:creator>
  <cp:keywords/>
  <dc:description/>
  <cp:lastModifiedBy>Portocarrero, Rosario</cp:lastModifiedBy>
  <cp:revision>5</cp:revision>
  <dcterms:created xsi:type="dcterms:W3CDTF">2026-09-28T21:27:00Z</dcterms:created>
  <dcterms:modified xsi:type="dcterms:W3CDTF">2026-09-30T15:13:00Z</dcterms:modified>
</cp:coreProperties>
</file>